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1" w:tblpY="23"/>
        <w:tblOverlap w:val="never"/>
        <w:tblW w:w="98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8"/>
        <w:gridCol w:w="4249"/>
        <w:gridCol w:w="2806"/>
      </w:tblGrid>
      <w:tr w14:paraId="0F198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F8AE18">
            <w:pPr>
              <w:pStyle w:val="5"/>
              <w:jc w:val="center"/>
              <w:rPr>
                <w:rFonts w:ascii="微软雅黑" w:hAnsi="微软雅黑" w:eastAsia="微软雅黑" w:cs="方正兰亭中黑_GBK"/>
                <w:sz w:val="48"/>
                <w:szCs w:val="4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4"/>
              </w:rPr>
              <w:t>文件5</w:t>
            </w:r>
          </w:p>
        </w:tc>
        <w:tc>
          <w:tcPr>
            <w:tcW w:w="4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6C1D55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>SMM AICE 2026（第二十一届）</w:t>
            </w:r>
          </w:p>
          <w:p w14:paraId="1C016A40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>铝业大会暨铝产业博览会</w:t>
            </w: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</w:rPr>
              <w:t xml:space="preserve"> </w:t>
            </w:r>
          </w:p>
        </w:tc>
        <w:tc>
          <w:tcPr>
            <w:tcW w:w="28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EA6773E">
            <w:pPr>
              <w:pStyle w:val="5"/>
              <w:spacing w:before="15" w:line="18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71A5D573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请将此表格上传至报馆系统：</w:t>
            </w:r>
          </w:p>
          <w:p w14:paraId="6283AB22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instrText xml:space="preserve"> HYPERLINK "https://2026aice.kepler.wang" </w:instrTex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https://2026aice.kepler.wang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end"/>
            </w:r>
          </w:p>
          <w:p w14:paraId="2F19BBBD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2"/>
              </w:rPr>
              <w:t>克普勒国际会展（苏州）有限公司</w:t>
            </w:r>
          </w:p>
          <w:p w14:paraId="1120A140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sz w:val="18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王博锐</w:t>
            </w:r>
          </w:p>
          <w:p w14:paraId="54BF42CB">
            <w:pPr>
              <w:pStyle w:val="5"/>
              <w:snapToGrid w:val="0"/>
              <w:jc w:val="center"/>
              <w:rPr>
                <w:rFonts w:hint="default" w:ascii="微软雅黑" w:hAnsi="微软雅黑" w:eastAsia="微软雅黑" w:cs="微软雅黑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手机：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13998382551</w:t>
            </w:r>
          </w:p>
          <w:p w14:paraId="5A8C3F2F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6C42F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</w:trPr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82E5CF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截止日期</w:t>
            </w:r>
          </w:p>
          <w:p w14:paraId="2901F4EE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36"/>
              </w:rPr>
              <w:t>026年3月20日</w:t>
            </w:r>
          </w:p>
        </w:tc>
        <w:tc>
          <w:tcPr>
            <w:tcW w:w="4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BB9CC1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搭建商进场须知</w:t>
            </w:r>
          </w:p>
          <w:p w14:paraId="5B1AC68A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8"/>
                <w:szCs w:val="28"/>
              </w:rPr>
            </w:pPr>
            <w:r>
              <w:rPr>
                <w:rFonts w:ascii="微软雅黑" w:hAnsi="微软雅黑" w:eastAsia="微软雅黑" w:cs="方正兰亭中黑_GBK"/>
                <w:sz w:val="24"/>
              </w:rPr>
              <w:t>（搭建商填写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并盖章</w:t>
            </w:r>
            <w:r>
              <w:rPr>
                <w:rFonts w:ascii="微软雅黑" w:hAnsi="微软雅黑" w:eastAsia="微软雅黑" w:cs="方正兰亭中黑_GBK"/>
                <w:sz w:val="24"/>
              </w:rPr>
              <w:t>）</w:t>
            </w:r>
          </w:p>
        </w:tc>
        <w:tc>
          <w:tcPr>
            <w:tcW w:w="28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F3B3CF">
            <w:pPr>
              <w:rPr>
                <w:rFonts w:ascii="微软雅黑" w:hAnsi="微软雅黑" w:eastAsia="微软雅黑"/>
              </w:rPr>
            </w:pPr>
          </w:p>
        </w:tc>
      </w:tr>
    </w:tbl>
    <w:p w14:paraId="0CCFB2FF"/>
    <w:p w14:paraId="1689259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施工作业前须自行评估确保无安全危险后方可施工。</w:t>
      </w:r>
    </w:p>
    <w:p w14:paraId="3D91AF20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进场施工时间必须按照申报时间进场，如有变化须及时通知，否则场馆将根据情况予以扣押金处理。</w:t>
      </w:r>
    </w:p>
    <w:p w14:paraId="31752A70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施工期间不得使用人字梯，高空作业必须使用脚手架并佩戴安全绳，脚手架需有人把扶方可施工。</w:t>
      </w:r>
    </w:p>
    <w:p w14:paraId="5ABFFF2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卸货区货车通道限高 4 米，货车长度不得超过 9米、否则无法开上卸货平台。</w:t>
      </w:r>
    </w:p>
    <w:p w14:paraId="092F60F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所有施工单位及参展单位不经场馆允许，不得私自挪动电箱位置等场馆基础设施，否则发生一切安全责任事故及人员伤害，均自行承担。</w:t>
      </w:r>
    </w:p>
    <w:p w14:paraId="601B423A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有用电需求的施工单位，电源接驳必须由专业电工施工作业，不许带电作业；电工须持本人电工本或电工本复印件方可施工作业，非电工人员不得操作。（1）展台所有电箱不得放置储物间及封闭空间内，须安装在展台明显位置。（请各搭建单位在送正式电前调整完毕，违反将扣除施工押金2000元）（2）电箱总开关必须用漏电开关、并做接地保护，且负荷与负载相匹配（电箱实际接驳空开须与申报电源规格一致），电箱须零件齐全且完整带盖，所有接电线路必须穿管（请各搭建单位在送正式电前调整完毕，违反将扣除施工押金2000 元）</w:t>
      </w:r>
    </w:p>
    <w:p w14:paraId="039B528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已在会议室内申请千瓦用电的施工单位如需接驳，请联系现场主场服务台。</w:t>
      </w:r>
    </w:p>
    <w:p w14:paraId="0838272F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施工搭建过程中如遇搭建问题，请立即联系主场管理服务台。</w:t>
      </w:r>
    </w:p>
    <w:p w14:paraId="00EAF29B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开展期间各搭建单位必须安排专业电工值守，每天清馆前关闭展台电源后方可撤离。</w:t>
      </w:r>
    </w:p>
    <w:p w14:paraId="638ECE2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展台如有24小时用电，必须留有24小时保安值守。</w:t>
      </w:r>
    </w:p>
    <w:p w14:paraId="30F1C99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撤馆时应文明施工，不得野蛮拆卸。（违者扣除施工押金2000元起）</w:t>
      </w:r>
    </w:p>
    <w:p w14:paraId="7DE6D9FE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施工方须按大会规定的时间进行撤馆，不可提前；在撤馆前须自行关闭本展台的电源，禁止带电拆除。如有特殊需求须提前申报。</w:t>
      </w:r>
    </w:p>
    <w:p w14:paraId="79D086EB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展会期间，如需添置桌椅，请到主场服务处办理租赁手续</w:t>
      </w:r>
    </w:p>
    <w:p w14:paraId="3909FA9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展会期间外带盒饭严禁入馆 我单位已阅读并深刻理解上述内容，承诺严格按照上述内容进行场馆内施工活动，违反上述内容我单位愿意接受相应处罚。</w:t>
      </w:r>
    </w:p>
    <w:p w14:paraId="2C406447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</w:p>
    <w:p w14:paraId="00355CDC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施工单位（盖章）：</w:t>
      </w: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ab/>
      </w:r>
    </w:p>
    <w:p w14:paraId="235BAD68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</w:p>
    <w:p w14:paraId="455A18B7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 xml:space="preserve">负 责 人 ： </w:t>
      </w:r>
    </w:p>
    <w:p w14:paraId="7771F795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</w:p>
    <w:p w14:paraId="11EBE8B8">
      <w:pPr>
        <w:snapToGrid w:val="0"/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日期：</w:t>
      </w: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62010"/>
    <w:multiLevelType w:val="singleLevel"/>
    <w:tmpl w:val="2DD6201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07E72487"/>
    <w:rsid w:val="1D5D57EA"/>
    <w:rsid w:val="27363334"/>
    <w:rsid w:val="327021F4"/>
    <w:rsid w:val="34B36539"/>
    <w:rsid w:val="34CC52D7"/>
    <w:rsid w:val="39AC4B2D"/>
    <w:rsid w:val="40142EAD"/>
    <w:rsid w:val="4C667968"/>
    <w:rsid w:val="4FEC2F50"/>
    <w:rsid w:val="518B5F81"/>
    <w:rsid w:val="54890697"/>
    <w:rsid w:val="6F1A4FFE"/>
    <w:rsid w:val="6F9C52CB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837</Words>
  <Characters>892</Characters>
  <Lines>0</Lines>
  <Paragraphs>0</Paragraphs>
  <TotalTime>0</TotalTime>
  <ScaleCrop>false</ScaleCrop>
  <LinksUpToDate>false</LinksUpToDate>
  <CharactersWithSpaces>903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2025-12-23T08:09:53Z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820DA5191051492AA3B4DC9B539BF60F_13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